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BB6" w:rsidRPr="005C18B6" w:rsidRDefault="00572BB6" w:rsidP="00313F92">
      <w:pPr>
        <w:tabs>
          <w:tab w:val="left" w:pos="5565"/>
        </w:tabs>
        <w:rPr>
          <w:rFonts w:ascii="Calibri" w:hAnsi="Calibri" w:cs="Calibri"/>
        </w:rPr>
      </w:pPr>
      <w:bookmarkStart w:id="0" w:name="_GoBack"/>
      <w:bookmarkEnd w:id="0"/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572BB6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72BB6" w:rsidRPr="00A45B81" w:rsidRDefault="00572BB6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572BB6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572BB6" w:rsidRPr="00773A69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16580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239893685" w:edGrp="everyone"/>
            <w:r>
              <w:rPr>
                <w:rFonts w:ascii="Calibri" w:hAnsi="Calibri" w:cs="Calibri"/>
                <w:szCs w:val="26"/>
              </w:rPr>
              <w:t>TCLD_ERTR_FGCPL</w:t>
            </w:r>
            <w:permEnd w:id="123989368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7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16580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64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572BB6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72BB6" w:rsidRDefault="00572BB6" w:rsidP="00CF18D8">
            <w:pPr>
              <w:pStyle w:val="TFSWorkitem3"/>
              <w:keepLines/>
              <w:rPr>
                <w:lang w:val="it-IT"/>
              </w:rPr>
            </w:pPr>
            <w:r w:rsidRPr="00572BB6">
              <w:rPr>
                <w:lang w:val="it-IT"/>
              </w:rPr>
              <w:t xml:space="preserve">Feature 16580 - Gestione competenze ad </w:t>
            </w:r>
            <w:proofErr w:type="spellStart"/>
            <w:r w:rsidRPr="00572BB6">
              <w:rPr>
                <w:lang w:val="it-IT"/>
              </w:rPr>
              <w:t>personam</w:t>
            </w:r>
            <w:proofErr w:type="spellEnd"/>
            <w:r w:rsidRPr="00572BB6">
              <w:rPr>
                <w:lang w:val="it-IT"/>
              </w:rPr>
              <w:t xml:space="preserve"> da </w:t>
            </w:r>
            <w:proofErr w:type="spellStart"/>
            <w:r w:rsidRPr="00572BB6">
              <w:rPr>
                <w:lang w:val="it-IT"/>
              </w:rPr>
              <w:t>lordizzare</w:t>
            </w:r>
            <w:proofErr w:type="spellEnd"/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572BB6" w:rsidRPr="0018760B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128757844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596822344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572BB6" w:rsidRPr="00324ECD" w:rsidRDefault="00572BB6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2128757844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2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572BB6" w:rsidRPr="00572BB6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197570037" w:edGrp="everyone"/>
            <w:r w:rsidRPr="00572BB6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 xml:space="preserve">Gestione competenze ad </w:t>
            </w:r>
            <w:proofErr w:type="spellStart"/>
            <w:r w:rsidRPr="00572BB6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personam</w:t>
            </w:r>
            <w:proofErr w:type="spellEnd"/>
            <w:r w:rsidRPr="00572BB6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 xml:space="preserve"> da </w:t>
            </w:r>
            <w:proofErr w:type="spellStart"/>
            <w:r w:rsidRPr="00572BB6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lordizzare</w:t>
            </w:r>
            <w:permEnd w:id="1197570037"/>
            <w:proofErr w:type="spellEnd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72BB6" w:rsidRPr="00572B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72BB6" w:rsidRDefault="00572BB6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572BB6" w:rsidRPr="00B11370" w:rsidRDefault="00572BB6" w:rsidP="00572BB6">
            <w:pPr>
              <w:pStyle w:val="NormaleWeb"/>
              <w:spacing w:before="0" w:beforeAutospacing="0" w:after="0" w:afterAutospacing="0"/>
              <w:rPr>
                <w:lang w:val="it-IT"/>
              </w:rPr>
            </w:pPr>
            <w:permStart w:id="1282672091" w:edGrp="everyone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L’operatore dell’amministrazione deve poter inserire la voce con l’importo netto relativa alle competenze da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lordizzare</w:t>
            </w:r>
            <w:proofErr w:type="spellEnd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, ossia pari a quello che dovrà essere erogato all’amministrato.</w:t>
            </w:r>
            <w:r w:rsidRPr="00B11370">
              <w:rPr>
                <w:color w:val="000000"/>
                <w:lang w:val="it-IT"/>
              </w:rPr>
              <w:t xml:space="preserve"> 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0" w:afterAutospacing="0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Il sistema deve verificare gli assoggettamenti ed il regime erariale dell’amministrato e lo scaglione IRPEF in cui si trova nel momento in cui viene effettuato il pagamento del netto applicando l’aliquota massima del mese precedente su detto importo. Il mese successivo a quello del pagamento l’importo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lordizzato</w:t>
            </w:r>
            <w:proofErr w:type="spellEnd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 rientra all’interno del calcolo IRPEF progressivo, ai fini della determinazione dell’aliquota massima per scaglioni.</w:t>
            </w:r>
            <w:r w:rsidRPr="00B11370">
              <w:rPr>
                <w:color w:val="000000"/>
                <w:lang w:val="it-IT"/>
              </w:rPr>
              <w:t xml:space="preserve"> </w:t>
            </w:r>
          </w:p>
          <w:p w:rsidR="00572BB6" w:rsidRPr="00B11370" w:rsidRDefault="00572BB6" w:rsidP="00572BB6">
            <w:pPr>
              <w:pStyle w:val="NormaleWeb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Per la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lordizzazione</w:t>
            </w:r>
            <w:proofErr w:type="spellEnd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 ai fini fiscali e contributivi, l’importo netto va trattato con i coefficienti presenti nella circolare della RGS n°12/2010 (tabella A). </w:t>
            </w:r>
          </w:p>
          <w:p w:rsidR="00572BB6" w:rsidRPr="00B11370" w:rsidRDefault="00572BB6" w:rsidP="00572BB6">
            <w:pPr>
              <w:pStyle w:val="NormaleWeb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Il sistema, all’atto del conguaglio fiscale e contributivo dell’amministrato (cessazione del dipendente, fine anno, ecc.), deve rideterminare gli imponibili, oggetto di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lordizzazione</w:t>
            </w:r>
            <w:proofErr w:type="spellEnd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, in base alle </w:t>
            </w:r>
            <w:proofErr w:type="gramStart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aliquote  contributive</w:t>
            </w:r>
            <w:proofErr w:type="gramEnd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 e fiscali dell’anno.</w:t>
            </w:r>
            <w:r w:rsidRPr="00B11370">
              <w:rPr>
                <w:color w:val="000000"/>
                <w:lang w:val="it-IT"/>
              </w:rPr>
              <w:t xml:space="preserve"> </w:t>
            </w:r>
          </w:p>
          <w:p w:rsidR="00572BB6" w:rsidRPr="00B11370" w:rsidRDefault="00572BB6" w:rsidP="00572BB6">
            <w:pPr>
              <w:pStyle w:val="NormaleWeb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Per gli importi netti da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lordizzare</w:t>
            </w:r>
            <w:proofErr w:type="spellEnd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 ai soli fini fiscali, </w:t>
            </w:r>
            <w:proofErr w:type="gramStart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>vanno  presi</w:t>
            </w:r>
            <w:proofErr w:type="gramEnd"/>
            <w:r w:rsidRPr="00B11370">
              <w:rPr>
                <w:rFonts w:ascii="Tahoma" w:hAnsi="Tahoma" w:cs="Tahoma"/>
                <w:color w:val="000000"/>
                <w:sz w:val="15"/>
                <w:szCs w:val="15"/>
                <w:lang w:val="it-IT"/>
              </w:rPr>
              <w:t xml:space="preserve"> in considerazione i coefficienti presenti nella tabella B della circolare della RGS n°12/2010.</w:t>
            </w:r>
            <w:r w:rsidRPr="00B11370">
              <w:rPr>
                <w:color w:val="000000"/>
                <w:lang w:val="it-IT"/>
              </w:rPr>
              <w:t xml:space="preserve"> </w:t>
            </w:r>
          </w:p>
          <w:p w:rsidR="00572BB6" w:rsidRPr="00B11370" w:rsidRDefault="00572BB6" w:rsidP="00572BB6">
            <w:pPr>
              <w:pStyle w:val="NormaleWeb"/>
              <w:rPr>
                <w:lang w:val="it-IT"/>
              </w:rPr>
            </w:pPr>
          </w:p>
          <w:p w:rsidR="00572BB6" w:rsidRPr="00B11370" w:rsidRDefault="00572BB6" w:rsidP="00572BB6">
            <w:pPr>
              <w:pStyle w:val="NormaleWeb"/>
              <w:rPr>
                <w:lang w:val="it-IT"/>
              </w:rPr>
            </w:pPr>
          </w:p>
          <w:p w:rsidR="00572BB6" w:rsidRPr="00B11370" w:rsidRDefault="00572BB6" w:rsidP="00572BB6">
            <w:pPr>
              <w:pStyle w:val="NormaleWeb"/>
              <w:rPr>
                <w:color w:val="000000"/>
                <w:lang w:val="it-IT"/>
              </w:rPr>
            </w:pPr>
          </w:p>
          <w:p w:rsidR="00572BB6" w:rsidRDefault="00572BB6" w:rsidP="00572BB6">
            <w:pPr>
              <w:rPr>
                <w:color w:val="000000"/>
              </w:rPr>
            </w:pPr>
            <w:r>
              <w:rPr>
                <w:noProof/>
                <w:color w:val="000000"/>
                <w:lang w:eastAsia="it-IT"/>
              </w:rPr>
              <w:lastRenderedPageBreak/>
              <w:drawing>
                <wp:inline distT="0" distB="0" distL="0" distR="0">
                  <wp:extent cx="12477750" cy="7029450"/>
                  <wp:effectExtent l="0" t="0" r="0" b="0"/>
                  <wp:docPr id="21" name="Immagine 21" descr="http://tfsprod.mef.gov.it/tfs/Cloudify-NoiPA/WorkItemTracking/v1.0/AttachFileHandler.ashx?FileNameGuid=c2062613-e0ba-4a64-ae3b-6a99716ea287&amp;FileName=20180320_MSE_Retribuzione_v1.0_definiti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tfsprod.mef.gov.it/tfs/Cloudify-NoiPA/WorkItemTracking/v1.0/AttachFileHandler.ashx?FileNameGuid=c2062613-e0ba-4a64-ae3b-6a99716ea287&amp;FileName=20180320_MSE_Retribuzione_v1.0_definiti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0" cy="702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282672091"/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A3613B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A64A6F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572BB6" w:rsidRPr="00AD37E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572BB6" w:rsidRPr="00426C9B" w:rsidRDefault="00572BB6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  <w:permStart w:id="599870909" w:edGrp="everyone"/>
      <w:permEnd w:id="599870909"/>
    </w:p>
    <w:p w:rsidR="00572BB6" w:rsidRPr="005C18B6" w:rsidRDefault="00572BB6" w:rsidP="00313F92">
      <w:pPr>
        <w:tabs>
          <w:tab w:val="left" w:pos="5565"/>
        </w:tabs>
        <w:rPr>
          <w:rFonts w:ascii="Calibri" w:hAnsi="Calibri" w:cs="Calibri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572BB6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72BB6" w:rsidRPr="00A45B81" w:rsidRDefault="00572BB6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572BB6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572BB6" w:rsidRPr="00773A69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1659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777165714" w:edGrp="everyone"/>
            <w:r>
              <w:rPr>
                <w:rFonts w:ascii="Calibri" w:hAnsi="Calibri" w:cs="Calibri"/>
                <w:szCs w:val="26"/>
              </w:rPr>
              <w:t>TCLD_ERTR_FCFRV</w:t>
            </w:r>
            <w:permEnd w:id="177716571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0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16598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65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47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572BB6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72BB6" w:rsidRDefault="00572BB6" w:rsidP="00CF18D8">
            <w:pPr>
              <w:pStyle w:val="TFSWorkitem3"/>
              <w:keepLines/>
              <w:rPr>
                <w:lang w:val="it-IT"/>
              </w:rPr>
            </w:pPr>
            <w:r w:rsidRPr="00572BB6">
              <w:rPr>
                <w:lang w:val="it-IT"/>
              </w:rPr>
              <w:t>Feature 16598 - Contribuzione figurativa e retribuzione virtuale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572BB6" w:rsidRPr="0018760B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680551491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814471982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572BB6" w:rsidRPr="00324ECD" w:rsidRDefault="00572BB6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680551491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572BB6" w:rsidRPr="00572BB6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496528344" w:edGrp="everyone"/>
            <w:r w:rsidRPr="00572BB6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Contribuzione figurativa e retribuzione virtuale</w:t>
            </w:r>
            <w:permEnd w:id="49652834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72BB6" w:rsidRPr="00572B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72BB6" w:rsidRDefault="00572BB6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permStart w:id="1275790787" w:edGrp="everyone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sistema deve considerare, ove previsto dalla normativa vigente, la contribuzione figurativa, con copertura ai fini pensionistici a carico degli istituti previdenziali, e la contribuzione sulla retribuzione virtuale, con copertura contributiva e previdenziale, a carico del datore di lavoro o del datore di lavoro e del dipendente, sulla retribuzione virtuale che l’amministrato avrebbe percepito in costanza del regolare servizio. A tal fine il sistema deve creare imponibili di natura figurativa e/o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virtuale  per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gli istituti previdenziali ed assicurativi, configurati al fine di calcolare correttamente gli imponibili contributivi, assicurativi e previdenziali associati all’amministrato.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Pertanto, ai fini della determinazione degli imponibili spettanti, per ciascun periodo il sistema dovrà calcolare: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sz w:val="18"/>
                <w:szCs w:val="18"/>
                <w:lang w:val="it-IT"/>
              </w:rPr>
              <w:t>Retribuzione figurativa ai fini pensionistici;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Retribuzione virtuale ai fini pensionistici, previdenziali e del credito;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Stipendio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Tabellare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Retribuzione individuale di anzianità (se presente);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Indennità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ad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personam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Indennità previste dai CCNL di comparto/CCNI/Normativa di settore;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Retribuzione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tabellare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TFR;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5"/>
              </w:numPr>
              <w:spacing w:before="60" w:beforeAutospacing="0" w:after="1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Retribuzione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valutabile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TFR;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 campi sopracitati sono utili a </w:t>
            </w:r>
            <w:proofErr w:type="spell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uniemens</w:t>
            </w:r>
            <w:proofErr w:type="spell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La generazione di ciascuno dei suddetti imponibili avviene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calcolando  per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ciascuna voce l’assoggettamento derivante dal regime contributivo associato all’amministrato (anche tenendo conto della contribuzione figurativa e della contribuzione sulla retribuzione virtuale, precedentemente descritte).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</w:t>
            </w:r>
            <w:proofErr w:type="spellStart"/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sistema,deve</w:t>
            </w:r>
            <w:proofErr w:type="spellEnd"/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inoltre tenere conto dei parametri di inclusione/esclusione dell’assoggettamento.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deve poter generare una voce di imponibile previdenziale assicurativo così come configurato nella Feature “</w:t>
            </w: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TCLD_ECNF_FCEIE - Configurazione elementi di inclusione/esclusione” 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sommando i valori delle singole </w:t>
            </w:r>
            <w:proofErr w:type="spellStart"/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voci,componenti</w:t>
            </w:r>
            <w:proofErr w:type="spellEnd"/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la retribuzione.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sistema, generando gli imponibili previdenziali precedentemente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descritti ,dovrà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tenere conto di ulteriori parametri, così come configurati nell’epica “</w:t>
            </w: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TCLD_ECNF_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Configurazioni e parametrizzazioni – voci stipendiali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lastRenderedPageBreak/>
              <w:t>(ad es. la percentuale di assoggettamento voce e/o elementi di inclusione/esclusione dell’assoggettamento).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Nel caso di assenza con riduzione economica al 100%(stipendio a zero), qualora l’assenza rientri tra quelle con copertura figurativa o con contribuzione sulla retribuzione virtuale, il sistema deve comunque determinare: 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6"/>
              </w:numPr>
              <w:spacing w:before="0" w:beforeAutospacing="0" w:after="0" w:afterAutospacing="0" w:line="276" w:lineRule="auto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sz w:val="18"/>
                <w:szCs w:val="18"/>
                <w:lang w:val="it-IT"/>
              </w:rPr>
              <w:t>l’imponibile su cui è calcolata la contribuzione figurativa a carico dell’istituto Previdenziale;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6"/>
              </w:numPr>
              <w:spacing w:before="0" w:beforeAutospacing="0" w:after="160" w:afterAutospacing="0" w:line="276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l’imponibile di retribuzione virtuale su cui è calcolata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la  contribuzione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da versare effettivamente.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 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In ogni caso, i certificati stipendiali, i risultati dell’elaborazione, forniti da sistema ed il cedolino per l’amministrato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devono  esporre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i dati di dettaglio.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In caso di riduzione economica al 100% (stipendio a zero) per assenze coperte da contribuzione figurativa e/o su retribuzione virtuale il sistema produce sempre il cedolino stipendiale con il dettaglio degli imponibili che hanno generato la contribuzione dovuta.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Nei casi previsti dalla normativa vigente, il sistema deve gestire i versamenti contributivi e gli adempimenti correlati (come descritto nell’Epica “</w:t>
            </w: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TCLD_EDMP -Gestione adempimenti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”)  da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  parte del  datore di lavoro per conto dell’amministrato, con rivalsa (ad esempio fuori ruolo all’Estero ai sensi della  L. 1114/62)  o senza  rivalsa (ad esempio nei casi di malattia previsti dalla circolare 13/2009 ex INPDAP) sullo stesso. In quest’ultimo caso, anche in assenza di retribuzione all’amministrato e di versamento contributivo a carico del datore di lavoro senza rivalsa sull’amministrato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stesso ,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per le amministrazioni nel bilancio dello Stato l’imputazione della spesa deve essere comunque ripartita sui capitoli/piani gestionali  previsti rispettivamente per le quote a carico del datore di lavoro e del dipendente (Nota RGS </w:t>
            </w:r>
            <w:proofErr w:type="spell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prot</w:t>
            </w:r>
            <w:proofErr w:type="spell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. 19994 del3/2/2017); ciò coerentemente con la quantificazione delle previsioni di bilancio per i capitoli/piani gestionali relativi alle competenze al personale al fine di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evitare  l’eventuale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formazione di eccedenze ed economie di </w:t>
            </w:r>
            <w:proofErr w:type="spell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bilacio</w:t>
            </w:r>
            <w:proofErr w:type="spell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sui capitoli/piani gestionali interessati.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Diversamente, per le amministrazioni fuori bilancio, che effettuano autonomamente il pagamento dei netti agli amministrati ed il versamento dei relativi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contributi ,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i risultati dell’elaborazione stipendiale  utili a tali adempimenti,  dovranno contenere l’informazione tra le  quote da versare interamente a carico del datore di lavoro, come descritto nell’Epica “</w:t>
            </w: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TCLD_EG15 - Gestione moduli contabili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Nei casi di versamento contributivo del datore di lavoro con rivalsa sull’amministrato, il sistema deve dare evidenza all’operatore delle quote da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recuperare  all’amministrato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  ai soli fini dell’abbattimento dell’imponibile fiscale in quanto la regolarizzazione ai fini pensionistici e previdenziali (versamento e dichiarazione) deve avvenire nel mese in cui si registra a sistema l’assenza.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deve consentire la gestione di periodi di assenza sovrapponibili di cui solo uno di essi con effetti economici e riflessi contributivi, ma tutti riportati nel cedolino prodotto.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Considerato che la normativa vigente prevede tipologie di assenza per le quali è prevista sia la copertura figurativa ai fini pensionistici  a carico dell’Istituto previdenziale sia l’effettivo versamento dei contributi previdenziali, del credito, assicurativi ecc. sulla retribuzione virtuale, a carico del datore e del dipendente o solo del datore di lavoro per conto del dipendente (con o senza rivalsa) il sistema deve gestire la coesistenza delle relative modalità di calcolo e fornire le relative informazioni di dettaglio distinguendo gli imponibili e i contributi sugli stessi applicati per ciascuna tipologia di copertura.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 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Di seguito si riporta un esempio per l’evento “Congedo Parentale con retribuzione ridotta per maternità e per assistenza al bambino” 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L'amministrato usufruisce per i giorni da 01/01/2018 a 15/01/2018 del "Congedo Parentale con retribuzione ridotta per assistenza al bambino" 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Tale assenza prevede: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riduzione economica per i giorni indicati del 70%;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calcolo dei contributi sul totale teorico che percepirebbe in costanza di servizio;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Effetti sulla retribuzione: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Lo stipendio teorico che percepirebbe in costanza di servizio è di 1000 euro al mese.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Giorni pagati per intero = 15 </w:t>
            </w:r>
            <w:r>
              <w:rPr>
                <w:rFonts w:ascii="Wingdings" w:hAnsi="Wingdings"/>
                <w:color w:val="000000"/>
                <w:sz w:val="18"/>
                <w:szCs w:val="18"/>
              </w:rPr>
              <w:t>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totale imponibile = 500 euro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Giorni con riduzione = 15 </w:t>
            </w:r>
            <w:r>
              <w:rPr>
                <w:rFonts w:ascii="Wingdings" w:hAnsi="Wingdings"/>
                <w:color w:val="000000"/>
                <w:sz w:val="20"/>
                <w:szCs w:val="20"/>
              </w:rPr>
              <w:t>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totale imponibile ridotto = 150 euro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Importo totale retribuito </w:t>
            </w:r>
            <w:r>
              <w:rPr>
                <w:rFonts w:ascii="Wingdings" w:hAnsi="Wingdings"/>
                <w:color w:val="000000"/>
                <w:sz w:val="18"/>
                <w:szCs w:val="18"/>
              </w:rPr>
              <w:t>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650 euro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45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lastRenderedPageBreak/>
              <w:t>Effetti sulla contribuzione: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sistema deve gestire tutte le tipologie di aspettativa e/o assenze che siano coperte da contribuzione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figurativa  e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da contribuzione sulla retribuzione virtuale o persa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 w:line="256" w:lineRule="auto"/>
              <w:jc w:val="both"/>
              <w:rPr>
                <w:rFonts w:ascii="Tahoma" w:hAnsi="Tahoma" w:cs="Tahoma"/>
                <w:sz w:val="18"/>
                <w:szCs w:val="18"/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L’ assoggettamento contributivo delle diverse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causali  è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definito nella feature "TCLD_ECN0_FCGAP - Configurazione giustificativi assenze/presenze</w:t>
            </w:r>
            <w:r w:rsidRPr="00572BB6">
              <w:rPr>
                <w:color w:val="000000"/>
                <w:lang w:val="it-IT"/>
              </w:rPr>
              <w:t xml:space="preserve">"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 w:line="256" w:lineRule="auto"/>
              <w:jc w:val="both"/>
              <w:rPr>
                <w:rFonts w:ascii="Tahoma" w:hAnsi="Tahoma" w:cs="Tahoma"/>
                <w:sz w:val="18"/>
                <w:szCs w:val="18"/>
                <w:lang w:val="it-IT"/>
              </w:rPr>
            </w:pPr>
            <w:r w:rsidRPr="00572BB6">
              <w:rPr>
                <w:color w:val="000000"/>
                <w:lang w:val="it-IT"/>
              </w:rPr>
              <w:t xml:space="preserve">Tale </w:t>
            </w:r>
            <w:proofErr w:type="gramStart"/>
            <w:r w:rsidRPr="00572BB6">
              <w:rPr>
                <w:color w:val="000000"/>
                <w:lang w:val="it-IT"/>
              </w:rPr>
              <w:t>assoggettamento  consente</w:t>
            </w:r>
            <w:proofErr w:type="gramEnd"/>
            <w:r w:rsidRPr="00572BB6">
              <w:rPr>
                <w:color w:val="000000"/>
                <w:lang w:val="it-IT"/>
              </w:rPr>
              <w:t xml:space="preserve"> di individuare le diverse tipologie di contribuzione applicabile alle varie fattispecie . Al fine di compilare le dichiarazioni mensili contributive ai vari istituti le causali gestite nel sistema saranno </w:t>
            </w:r>
            <w:proofErr w:type="spellStart"/>
            <w:r w:rsidRPr="00572BB6">
              <w:rPr>
                <w:color w:val="000000"/>
                <w:lang w:val="it-IT"/>
              </w:rPr>
              <w:t>trascodificate</w:t>
            </w:r>
            <w:proofErr w:type="spellEnd"/>
            <w:r w:rsidRPr="00572BB6">
              <w:rPr>
                <w:color w:val="000000"/>
                <w:lang w:val="it-IT"/>
              </w:rPr>
              <w:t xml:space="preserve"> nei codici richiesti dalle procedure di dichiarazione (ad esempio UNIEMENS – Lista </w:t>
            </w:r>
            <w:proofErr w:type="spellStart"/>
            <w:r w:rsidRPr="00572BB6">
              <w:rPr>
                <w:color w:val="000000"/>
                <w:lang w:val="it-IT"/>
              </w:rPr>
              <w:t>posPA</w:t>
            </w:r>
            <w:proofErr w:type="spellEnd"/>
            <w:r w:rsidRPr="00572BB6">
              <w:rPr>
                <w:color w:val="000000"/>
                <w:lang w:val="it-IT"/>
              </w:rPr>
              <w:t xml:space="preserve"> e </w:t>
            </w:r>
            <w:proofErr w:type="spellStart"/>
            <w:r w:rsidRPr="00572BB6">
              <w:rPr>
                <w:color w:val="000000"/>
                <w:lang w:val="it-IT"/>
              </w:rPr>
              <w:t>PosContributiva</w:t>
            </w:r>
            <w:proofErr w:type="spellEnd"/>
            <w:r w:rsidRPr="00572BB6">
              <w:rPr>
                <w:color w:val="000000"/>
                <w:lang w:val="it-IT"/>
              </w:rPr>
              <w:t>, INPGI ecc. (come descritto nell’Epica “</w:t>
            </w:r>
            <w:r w:rsidRPr="00572BB6">
              <w:rPr>
                <w:i/>
                <w:iCs/>
                <w:color w:val="000000"/>
                <w:lang w:val="it-IT"/>
              </w:rPr>
              <w:t>TCLD_EDMP -  Gestione adempimenti</w:t>
            </w:r>
            <w:r w:rsidRPr="00572BB6">
              <w:rPr>
                <w:color w:val="000000"/>
                <w:lang w:val="it-IT"/>
              </w:rPr>
              <w:t>”).</w:t>
            </w:r>
          </w:p>
          <w:p w:rsid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sistema, generando gli imponibili previdenziali precedentemente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descritti ,dovrà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tenere conto di ulteriori parametri, così come configurati nell’epica “</w:t>
            </w: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TCLD_ECNF_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Configurazioni e parametrizzazioni – voci stipendiali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 (ad es. la percentuale di assoggettamento voce e/o elementi di inclusione/esclusione dell’assoggettamento).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Fra gli imponibili, i contributi e le ritenute previdenziali che il sistema deve generare sono inclusi: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7"/>
              </w:numPr>
              <w:spacing w:before="60" w:beforeAutospacing="0" w:after="60" w:afterAutospacing="0"/>
              <w:jc w:val="both"/>
            </w:pPr>
            <w:proofErr w:type="spellStart"/>
            <w:proofErr w:type="gramStart"/>
            <w:r>
              <w:rPr>
                <w:rFonts w:ascii="Tahoma" w:hAnsi="Tahoma" w:cs="Tahoma"/>
                <w:sz w:val="18"/>
                <w:szCs w:val="18"/>
              </w:rPr>
              <w:t>addizionale</w:t>
            </w:r>
            <w:proofErr w:type="spellEnd"/>
            <w:proofErr w:type="gramEnd"/>
            <w:r>
              <w:rPr>
                <w:rFonts w:ascii="Tahoma" w:hAnsi="Tahoma" w:cs="Tahoma"/>
                <w:sz w:val="18"/>
                <w:szCs w:val="18"/>
              </w:rPr>
              <w:t xml:space="preserve"> 1% - Art. 3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Ter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Legge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438/92;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 Maggiorazione 18% retribuzione determinata nell’art.9 al netto della retribuzione accessoria Quota B - legge 335/95 art. 2 co. 10;</w:t>
            </w:r>
          </w:p>
          <w:p w:rsidR="00572BB6" w:rsidRPr="00572BB6" w:rsidRDefault="00572BB6" w:rsidP="00572BB6">
            <w:pPr>
              <w:pStyle w:val="NormaleWeb"/>
              <w:numPr>
                <w:ilvl w:val="0"/>
                <w:numId w:val="3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proofErr w:type="spell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mMaggiorazione</w:t>
            </w:r>
            <w:proofErr w:type="spell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della base pensionabile 15% personale forze di polizia, forze armate, militari e civili con calcolo pensionistico contributivo anche parziale Legge 335/95 - Legge 165/97 art.4 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108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 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In presenza di massimale contributivo L.335/95 come descritto nella Feature “</w:t>
            </w: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TCLD_ECNF_FCRC0 - Configurazione regimi contributivi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”, qualora le retribuzioni assoggettate superino tale massimale, il sistema, per la parte eccedente, deve generare la voce “imponibile eccedente il massimale” per ciascun istituto a cui va applicato il massimale stesso (</w:t>
            </w:r>
            <w:proofErr w:type="spell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uniemens</w:t>
            </w:r>
            <w:proofErr w:type="spell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).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In presenza di sospensione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delle contribuzione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a carico dell’Amministrazione e/o a carico dell’amministrato, il sistema deve generare, per il periodo di riferimento, i dati contributivi/assistenziali e assicurativi e generare anche la voce di sospensione totale/parziale, in base alla percentuale prevista della sospensione.</w:t>
            </w:r>
          </w:p>
          <w:p w:rsidR="00572BB6" w:rsidRPr="00572BB6" w:rsidRDefault="00572BB6" w:rsidP="00572BB6">
            <w:pPr>
              <w:pStyle w:val="NormaleWeb"/>
              <w:spacing w:before="0" w:beforeAutospacing="0" w:after="160" w:afterAutospacing="0"/>
              <w:ind w:left="108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 </w:t>
            </w:r>
          </w:p>
          <w:p w:rsidR="00572BB6" w:rsidRPr="00572BB6" w:rsidRDefault="00572BB6" w:rsidP="00572BB6">
            <w:pPr>
              <w:pStyle w:val="NormaleWeb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provvederà a generare, per ciascun imponibile, i contributi e le ritenute previdenziali, assicurative e assistenziali come configurate nella feature “</w:t>
            </w:r>
            <w:r w:rsidRPr="00572BB6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TCLD_ECNF_FCRC0 - Configurazione regimi contributivi</w:t>
            </w: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”, per ciascun amministrato assoggettato all’istituto previdenziale e al proprio regime contributivo.</w:t>
            </w:r>
          </w:p>
          <w:p w:rsidR="00572BB6" w:rsidRPr="00572BB6" w:rsidRDefault="00572BB6" w:rsidP="00572BB6">
            <w:pPr>
              <w:pStyle w:val="NormaleWeb"/>
              <w:rPr>
                <w:lang w:val="it-IT"/>
              </w:rPr>
            </w:pPr>
          </w:p>
          <w:p w:rsidR="00572BB6" w:rsidRPr="00572BB6" w:rsidRDefault="00572BB6" w:rsidP="00572BB6">
            <w:pPr>
              <w:pStyle w:val="NormaleWeb"/>
              <w:rPr>
                <w:lang w:val="it-IT"/>
              </w:rPr>
            </w:pPr>
          </w:p>
          <w:p w:rsidR="00572BB6" w:rsidRDefault="00572BB6" w:rsidP="00572BB6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6525875" cy="4810125"/>
                  <wp:effectExtent l="0" t="0" r="9525" b="9525"/>
                  <wp:docPr id="22" name="Immagine 22" descr="http://tfsprod.mef.gov.it/tfs/Cloudify-NoiPA/WorkItemTracking/v1.0/AttachFileHandler.ashx?FileNameGuid=955ce009-fe2c-443c-ac39-0b5aa6f66117&amp;FileName=contirbuzione%20figurati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tfsprod.mef.gov.it/tfs/Cloudify-NoiPA/WorkItemTracking/v1.0/AttachFileHandler.ashx?FileNameGuid=955ce009-fe2c-443c-ac39-0b5aa6f66117&amp;FileName=contirbuzione%20figurativ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5875" cy="481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BB6" w:rsidRDefault="00572BB6" w:rsidP="00572BB6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1275790787"/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A3613B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A64A6F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572BB6" w:rsidRPr="00AD37E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572BB6" w:rsidRPr="00426C9B" w:rsidRDefault="00572BB6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  <w:permStart w:id="1573942789" w:edGrp="everyone"/>
      <w:permEnd w:id="1573942789"/>
    </w:p>
    <w:p w:rsidR="00572BB6" w:rsidRPr="005C18B6" w:rsidRDefault="00572BB6" w:rsidP="00313F92">
      <w:pPr>
        <w:tabs>
          <w:tab w:val="left" w:pos="5565"/>
        </w:tabs>
        <w:rPr>
          <w:rFonts w:ascii="Calibri" w:hAnsi="Calibri" w:cs="Calibri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572BB6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72BB6" w:rsidRPr="00A45B81" w:rsidRDefault="00572BB6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572BB6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572BB6" w:rsidRPr="00773A69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3" w:name="w2t16619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61813406" w:edGrp="everyone"/>
            <w:r>
              <w:rPr>
                <w:rFonts w:ascii="Calibri" w:hAnsi="Calibri" w:cs="Calibri"/>
                <w:szCs w:val="26"/>
              </w:rPr>
              <w:t>TCLD_ERTR_FGREF</w:t>
            </w:r>
            <w:permEnd w:id="61813406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3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16619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4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63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45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3"/>
      <w:tr w:rsidR="00572BB6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72BB6" w:rsidRDefault="00572BB6" w:rsidP="00CF18D8">
            <w:pPr>
              <w:pStyle w:val="TFSWorkitem3"/>
              <w:keepLines/>
              <w:rPr>
                <w:lang w:val="it-IT"/>
              </w:rPr>
            </w:pPr>
            <w:r w:rsidRPr="00572BB6">
              <w:rPr>
                <w:lang w:val="it-IT"/>
              </w:rPr>
              <w:t>Feature 16619 - Gestione redditi erogati fuori sistema- dal datore di lavoro o da soggetti diversi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572BB6" w:rsidRPr="0018760B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068895440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927932943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572BB6" w:rsidRPr="00324ECD" w:rsidRDefault="00572BB6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1068895440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572BB6" w:rsidRPr="00572BB6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658010890" w:edGrp="everyone"/>
            <w:r w:rsidRPr="00572BB6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Gestione redditi erogati fuori sistema- dal datore di lavoro o da soggetti diversi</w:t>
            </w:r>
            <w:permEnd w:id="65801089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72BB6" w:rsidRPr="00572B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72BB6" w:rsidRDefault="00572BB6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permStart w:id="305421331" w:edGrp="everyone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Ai fini della completezza dei dati riportati nella certificazione unica e per poter effettuare il conguaglio contributivo e fiscale, il sistema deve consentire all’operatore: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- di registrare somme liquidate fuori sistema dalle amministrazioni di </w:t>
            </w:r>
            <w:proofErr w:type="spell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apparteneza</w:t>
            </w:r>
            <w:proofErr w:type="spell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degli amministrati,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da  amministrazioni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, gestite e non gestite nel sistema, con le quali l’amministrato abbia ulteriori rapporti di lavoro.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- di registrare il reintegro di somme rimborsate in conto entrate fuori sistema dall’amministrato (ad esempio a seguito di procedimenti amministrativi).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Tali dati sono utili ai fini della certificazione unica e delle dichiarazioni mensili contributive, gli stessi dovranno essere acquisiti e </w:t>
            </w:r>
            <w:proofErr w:type="gramStart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suddivisi  con</w:t>
            </w:r>
            <w:proofErr w:type="gramEnd"/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il massimo livello di dettaglio (ad esempio, oltre all’importo totale,  imponibile lordo, imponibili per tipologia di cassa di assoggettamento, periodo di riferimento, ecc.).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Pertanto l’operatore autorizzato deve poter inserire/variare/annullare i dati relativi ai redditi erogati all’amministrato da altri soggetti.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deve permettere di associare all’amministrato da “1 a n” certificazioni di altri soggetti.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Le certificazioni devono essere associate all’anno fiscale di competenza.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Le informazioni indispensabili in base alla normativa vigente sono: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codice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fiscale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dell’altro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soggetti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redditi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punto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1)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redditi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punto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2)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redditi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punto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3)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redditi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punto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4)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redditi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punto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5)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causale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ritenute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addizionale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regionale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addizionale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comunale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acconto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addizionale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comunale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saldo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ritenute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sospese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addizionale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regionale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sospese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addizionale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comunale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acconto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sospese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addizionale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comunale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saldo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sospese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0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somme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esenti</w:t>
            </w:r>
            <w:proofErr w:type="spellEnd"/>
          </w:p>
          <w:p w:rsidR="00572BB6" w:rsidRDefault="00572BB6" w:rsidP="00572BB6">
            <w:pPr>
              <w:pStyle w:val="NormaleWeb"/>
              <w:numPr>
                <w:ilvl w:val="1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causale1, importo1</w:t>
            </w:r>
          </w:p>
          <w:p w:rsidR="00572BB6" w:rsidRDefault="00572BB6" w:rsidP="00572BB6">
            <w:pPr>
              <w:pStyle w:val="NormaleWeb"/>
              <w:numPr>
                <w:ilvl w:val="1"/>
                <w:numId w:val="3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causale2, importo2.</w:t>
            </w:r>
          </w:p>
          <w:p w:rsidR="00572BB6" w:rsidRP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non deve permettere di annullare/variare i dati relativi a redditi già conguagliati nella retribuzione di febbraio nell’anno successivo e già consolidata.</w:t>
            </w:r>
          </w:p>
          <w:p w:rsidR="00572BB6" w:rsidRPr="00572BB6" w:rsidRDefault="00572BB6" w:rsidP="00572BB6">
            <w:pPr>
              <w:pStyle w:val="NormaleWeb"/>
              <w:rPr>
                <w:lang w:val="it-IT"/>
              </w:rPr>
            </w:pPr>
            <w:r w:rsidRPr="00572BB6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Inoltre, nel caso di reintegro di somme rimborsate in conto entrate fuori sistema dall’amministrato (ad esempio a seguito di procedimenti amministrativi), l’operatore autorizzato deve poter inserire/variare/annullare i dati relativi alle somme rimborsate in conto entrate, ai fini del conguaglio fiscale e contributivo.</w:t>
            </w:r>
          </w:p>
          <w:p w:rsidR="00572BB6" w:rsidRPr="00572BB6" w:rsidRDefault="00572BB6" w:rsidP="00572BB6">
            <w:pPr>
              <w:pStyle w:val="NormaleWeb"/>
              <w:rPr>
                <w:lang w:val="it-IT"/>
              </w:rPr>
            </w:pPr>
          </w:p>
          <w:p w:rsidR="00572BB6" w:rsidRDefault="00572BB6" w:rsidP="00572BB6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2915900" cy="9134475"/>
                  <wp:effectExtent l="0" t="0" r="0" b="9525"/>
                  <wp:docPr id="23" name="Immagine 23" descr="http://tfsprod.mef.gov.it/tfs/Cloudify-NoiPA/WorkItemTracking/v1.0/AttachFileHandler.ashx?FileNameGuid=30a344b2-2ec6-4b09-8603-99a8d9e66413&amp;FileName=redditi%20erogati%20fuori%20sist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tfsprod.mef.gov.it/tfs/Cloudify-NoiPA/WorkItemTracking/v1.0/AttachFileHandler.ashx?FileNameGuid=30a344b2-2ec6-4b09-8603-99a8d9e66413&amp;FileName=redditi%20erogati%20fuori%20sist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0" cy="913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BB6" w:rsidRDefault="00572BB6" w:rsidP="00572BB6">
            <w:pPr>
              <w:pStyle w:val="NormaleWeb"/>
            </w:pPr>
            <w:r>
              <w:lastRenderedPageBreak/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305421331"/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A3613B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A64A6F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572BB6" w:rsidRPr="00AD37E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572BB6" w:rsidRPr="00426C9B" w:rsidRDefault="00572BB6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  <w:permStart w:id="868681889" w:edGrp="everyone"/>
      <w:permEnd w:id="868681889"/>
    </w:p>
    <w:p w:rsidR="00572BB6" w:rsidRPr="005C18B6" w:rsidRDefault="00572BB6" w:rsidP="00313F92">
      <w:pPr>
        <w:tabs>
          <w:tab w:val="left" w:pos="5565"/>
        </w:tabs>
        <w:rPr>
          <w:rFonts w:ascii="Calibri" w:hAnsi="Calibri" w:cs="Calibri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572BB6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72BB6" w:rsidRPr="00A45B81" w:rsidRDefault="00572BB6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572BB6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572BB6" w:rsidRPr="00773A69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4" w:name="w2t16627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326126242" w:edGrp="everyone"/>
            <w:r>
              <w:rPr>
                <w:rFonts w:ascii="Calibri" w:hAnsi="Calibri" w:cs="Calibri"/>
                <w:szCs w:val="26"/>
              </w:rPr>
              <w:t>TCLD_ERTR_FCRES</w:t>
            </w:r>
            <w:permEnd w:id="1326126242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6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16627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7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63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45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4"/>
      <w:tr w:rsidR="00572BB6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B11370" w:rsidRDefault="00572BB6" w:rsidP="00CF18D8">
            <w:pPr>
              <w:pStyle w:val="TFSWorkitem3"/>
              <w:keepLines/>
              <w:rPr>
                <w:lang w:val="it-IT"/>
              </w:rPr>
            </w:pPr>
            <w:r w:rsidRPr="00B11370">
              <w:rPr>
                <w:lang w:val="it-IT"/>
              </w:rPr>
              <w:t>Feature 16627 - Consolidamento rata di elaborazione stipendiale e pagamenti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572BB6" w:rsidRPr="0018760B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662402749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515854837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572BB6" w:rsidRPr="00324ECD" w:rsidRDefault="00572BB6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1662402749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572BB6" w:rsidRPr="00B11370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48696910" w:edGrp="everyone"/>
            <w:r w:rsidRPr="00B11370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Consolidamento rata di elaborazione stipendiale e pagamenti</w:t>
            </w:r>
            <w:permEnd w:id="4869691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72BB6" w:rsidRPr="00B11370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B11370" w:rsidRDefault="00572BB6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572BB6" w:rsidRPr="00B11370" w:rsidRDefault="00572BB6" w:rsidP="00572BB6">
            <w:pPr>
              <w:pStyle w:val="NormaleWeb"/>
              <w:spacing w:before="0" w:beforeAutospacing="0" w:after="0" w:afterAutospacing="0"/>
              <w:jc w:val="both"/>
              <w:rPr>
                <w:lang w:val="it-IT"/>
              </w:rPr>
            </w:pPr>
            <w:permStart w:id="150867551" w:edGrp="everyone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Al termine delle elaborazioni stipendiali, il sistema viene congelato con i dati registrati alla data di chiusura della rata di elaborazione.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 xml:space="preserve">I dati consolidati vengono utilizzati per il pagamento dei netti agli amministrati, nonché per il versamento delle ritenute ad essi associate, erariali, pensionistiche, previdenziali, assicurative ed </w:t>
            </w:r>
            <w:proofErr w:type="spellStart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extraerariali</w:t>
            </w:r>
            <w:proofErr w:type="spellEnd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 xml:space="preserve"> e per espletare tutti gli adempimenti correlati. 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A titolo esemplificativo e non esaustivo di seguito si descrive sommariamente il processo che verrà declinato in maniera approfondita con apposite epiche: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 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39"/>
              </w:numPr>
              <w:spacing w:before="60" w:beforeAutospacing="0" w:after="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Il sistema deve produrre i flussi per effettuare i pagamenti degli emolumenti stipendiali spettanti, utilizzando le modalità stabilite dalla normativa vigente:</w:t>
            </w:r>
          </w:p>
          <w:p w:rsidR="00572BB6" w:rsidRPr="00B11370" w:rsidRDefault="00572BB6" w:rsidP="00572BB6">
            <w:pPr>
              <w:pStyle w:val="NormaleWeb"/>
              <w:numPr>
                <w:ilvl w:val="1"/>
                <w:numId w:val="39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Per le amministrazioni nel bilancio dello stato, saranno avviate le procedure dei pagamenti telematici attraverso Banca D’Italia;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0"/>
              </w:numPr>
              <w:spacing w:before="60" w:beforeAutospacing="0" w:after="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 xml:space="preserve">Per le amministrazioni fuori bilancio, ove consentito (es. Presidenza del Consiglio), saranno avviate le procedure dei pagamenti </w:t>
            </w:r>
            <w:proofErr w:type="spellStart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simil</w:t>
            </w:r>
            <w:proofErr w:type="spellEnd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 xml:space="preserve"> telematico attraverso Banca D’Italia;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Per tutte le altre amministrazioni fuori bilancio saranno prodotti i flussi di pagamento per le Banche Tesoriere, scelte dalle stesse (CBI).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1"/>
              </w:numPr>
              <w:spacing w:before="60" w:beforeAutospacing="0" w:after="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I pagamenti andranno imputati su capitoli, piani gestionali, come configurati nell’Epica “</w:t>
            </w:r>
            <w:r w:rsidRPr="00B11370">
              <w:rPr>
                <w:rFonts w:ascii="Tahoma" w:hAnsi="Tahoma" w:cs="Tahoma"/>
                <w:i/>
                <w:iCs/>
                <w:sz w:val="18"/>
                <w:szCs w:val="18"/>
                <w:lang w:val="it-IT"/>
              </w:rPr>
              <w:t>TCLD_EG15 - Gestione moduli contabili”.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Contestualmente ai flussi per effettuare i pagamenti stipendiali, devono essere predisposti i flussi per effettuare il pagamento delle ritenute previdenziali ed erariali ed extra erariali ai terzi creditori. 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/>
              <w:ind w:left="72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Anche nel caso delle ritenute tali flussi saranno distinti tra amministrazioni in bilancio e fuori bilancio: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2"/>
              </w:numPr>
              <w:spacing w:before="60" w:beforeAutospacing="0" w:after="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Per le amministrazioni in Bilancio il pagamento delle ritenute avviene attraverso la procedura dei pagamenti telematici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Per le amministrazioni fuori Bilancio i dati per il pagamento delle ritenute erariali, contributivi e previdenziali sono forniti sulle apposite aree di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staging</w:t>
            </w:r>
            <w:proofErr w:type="spell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in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fomato</w:t>
            </w:r>
            <w:proofErr w:type="spell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F24; i dati per il pagamento delle ritenute erariali ai terzi creditori sono depositate su apposite aree di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staging</w:t>
            </w:r>
            <w:proofErr w:type="spell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o attraverso la fruibilità delle informazioni desumibili direttamente dal sistema.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Inoltre, sempre a titolo esemplificativo e non esaustivo, il sistema deve fornire il risultato dei dati dell’elaborazione attraverso flussi di rendicontazione e di riepilogo: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lastRenderedPageBreak/>
              <w:t xml:space="preserve">Il sistema deve produrre i file per la rendicontazione costituiti dall’aggregazione dei dati economici e contabili utili alla compilazione di flussi previsti dalla normativa vigente: flussi previsti dagli enti istituzionali preposti a funzioni di controllo/rendicontazione (RGS, INPS, IGOP, </w:t>
            </w:r>
            <w:proofErr w:type="spellStart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ecc</w:t>
            </w:r>
            <w:proofErr w:type="spellEnd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) flussi di dettaglio relativi alle ritenute extra-erariali operate a favore degli enti creditori.(vedi Feature “</w:t>
            </w:r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TCLD_ECNF_FCRDP - Configurazione report e distinte post elaborazione stipendiale</w:t>
            </w:r>
            <w:bookmarkStart w:id="5" w:name="_msoanchor_1"/>
            <w:r w:rsidRPr="00B11370">
              <w:rPr>
                <w:rFonts w:ascii="Georgia" w:hAnsi="Georgia" w:cs="Tahoma"/>
                <w:color w:val="0066CC"/>
                <w:sz w:val="16"/>
                <w:szCs w:val="16"/>
                <w:lang w:val="it-IT"/>
              </w:rPr>
              <w:t>[</w:t>
            </w:r>
            <w:bookmarkEnd w:id="5"/>
            <w:r w:rsidRPr="00B11370">
              <w:rPr>
                <w:rFonts w:ascii="Georgia" w:hAnsi="Georgia" w:cs="Tahoma"/>
                <w:sz w:val="16"/>
                <w:szCs w:val="16"/>
                <w:lang w:val="it-IT"/>
              </w:rPr>
              <w:t> </w:t>
            </w:r>
            <w:r w:rsidRPr="00B11370">
              <w:rPr>
                <w:lang w:val="it-IT"/>
              </w:rPr>
              <w:t xml:space="preserve"> P</w:t>
            </w: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 xml:space="preserve">er le Amministrazione che hanno aderito al solo servizio PE: visualizzazione e/o gestione del flusso delle rendicontazioni dell’esito dei pagamenti provenienti da BKI/altre banche1 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0" w:afterAutospacing="0"/>
              <w:ind w:left="720"/>
              <w:jc w:val="both"/>
              <w:rPr>
                <w:lang w:val="it-IT"/>
              </w:rPr>
            </w:pPr>
          </w:p>
          <w:p w:rsidR="00572BB6" w:rsidRPr="00B11370" w:rsidRDefault="00572BB6" w:rsidP="00572BB6">
            <w:pPr>
              <w:pStyle w:val="NormaleWeb"/>
              <w:numPr>
                <w:ilvl w:val="0"/>
                <w:numId w:val="43"/>
              </w:numPr>
              <w:spacing w:before="0" w:beforeAutospacing="0" w:after="0" w:afterAutospacing="0"/>
              <w:jc w:val="both"/>
              <w:rPr>
                <w:color w:val="000000"/>
                <w:lang w:val="it-IT"/>
              </w:rPr>
            </w:pPr>
            <w:r w:rsidRPr="00B11370">
              <w:rPr>
                <w:rStyle w:val="Enfasigrassetto"/>
                <w:rFonts w:ascii="Tahoma" w:hAnsi="Tahoma" w:cs="Tahoma"/>
                <w:sz w:val="18"/>
                <w:szCs w:val="18"/>
                <w:lang w:val="it-IT"/>
              </w:rPr>
              <w:t> </w:t>
            </w:r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 xml:space="preserve">il sistema deve </w:t>
            </w:r>
            <w:proofErr w:type="gramStart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>produrre  file</w:t>
            </w:r>
            <w:proofErr w:type="gramEnd"/>
            <w:r w:rsidRPr="00B11370">
              <w:rPr>
                <w:rFonts w:ascii="Tahoma" w:hAnsi="Tahoma" w:cs="Tahoma"/>
                <w:sz w:val="18"/>
                <w:szCs w:val="18"/>
                <w:lang w:val="it-IT"/>
              </w:rPr>
              <w:t xml:space="preserve"> riepilogativi con le informazioni di dettaglio e aggregate</w:t>
            </w:r>
          </w:p>
          <w:p w:rsidR="00572BB6" w:rsidRPr="00B11370" w:rsidRDefault="00572BB6" w:rsidP="00572BB6">
            <w:pPr>
              <w:pStyle w:val="NormaleWeb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sistema deve produrre i </w:t>
            </w:r>
            <w:proofErr w:type="gram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cedolini  utilizzando</w:t>
            </w:r>
            <w:proofErr w:type="gram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le opportune procedure  di generazione,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securizzazione</w:t>
            </w:r>
            <w:proofErr w:type="spell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e pubblicazione del cedolino, così come descritto nelle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Feature:</w:t>
            </w:r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“TCLD_ERTR_FGSPC</w:t>
            </w:r>
            <w:proofErr w:type="spellEnd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 –  Generazione, </w:t>
            </w:r>
            <w:proofErr w:type="spellStart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securizzazione</w:t>
            </w:r>
            <w:proofErr w:type="spellEnd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 e pubblicazione cedolino”; “TCLD_ ERTR_ FRACE – Riepilogo annuale cedolini emessi per amministrato, mensile e annuale per amministrazione“; “TCLD_ERTR_FSAC0–  Storno/Annullamento cedolino”.</w:t>
            </w:r>
          </w:p>
          <w:p w:rsidR="00572BB6" w:rsidRPr="00B11370" w:rsidRDefault="00572BB6" w:rsidP="00572BB6">
            <w:pPr>
              <w:pStyle w:val="NormaleWeb"/>
              <w:rPr>
                <w:lang w:val="it-IT"/>
              </w:rPr>
            </w:pPr>
          </w:p>
          <w:p w:rsidR="00572BB6" w:rsidRDefault="00572BB6" w:rsidP="00572BB6">
            <w:pPr>
              <w:pStyle w:val="NormaleWeb"/>
            </w:pPr>
            <w:r>
              <w:rPr>
                <w:rFonts w:ascii="Tahoma" w:hAnsi="Tahoma" w:cs="Tahoma"/>
                <w:noProof/>
                <w:sz w:val="18"/>
                <w:szCs w:val="18"/>
              </w:rPr>
              <w:lastRenderedPageBreak/>
              <w:drawing>
                <wp:inline distT="0" distB="0" distL="0" distR="0">
                  <wp:extent cx="13944600" cy="11772900"/>
                  <wp:effectExtent l="0" t="0" r="0" b="0"/>
                  <wp:docPr id="24" name="Immagine 24" descr="http://tfsprod.mef.gov.it/tfs/Cloudify-NoiPA/WorkItemTracking/v1.0/AttachFileHandler.ashx?FileNameGuid=be19254e-44ab-40c7-a268-3fbc86fe46e0&amp;FileName=consolidamento%20ra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tfsprod.mef.gov.it/tfs/Cloudify-NoiPA/WorkItemTracking/v1.0/AttachFileHandler.ashx?FileNameGuid=be19254e-44ab-40c7-a268-3fbc86fe46e0&amp;FileName=consolidamento%20ra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0" cy="1177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BB6" w:rsidRDefault="00572BB6" w:rsidP="00572BB6">
            <w:pPr>
              <w:pStyle w:val="NormaleWeb"/>
            </w:pPr>
            <w:r>
              <w:lastRenderedPageBreak/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150867551"/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A3613B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A64A6F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572BB6" w:rsidRPr="00AD37E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572BB6" w:rsidRPr="00426C9B" w:rsidRDefault="00572BB6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  <w:permStart w:id="1400126082" w:edGrp="everyone"/>
      <w:permEnd w:id="1400126082"/>
    </w:p>
    <w:p w:rsidR="00572BB6" w:rsidRPr="005C18B6" w:rsidRDefault="00572BB6" w:rsidP="00313F92">
      <w:pPr>
        <w:tabs>
          <w:tab w:val="left" w:pos="5565"/>
        </w:tabs>
        <w:rPr>
          <w:rFonts w:ascii="Calibri" w:hAnsi="Calibri" w:cs="Calibri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572BB6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72BB6" w:rsidRPr="00A45B81" w:rsidRDefault="00572BB6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572BB6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572BB6" w:rsidRPr="00773A69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6" w:name="w2t16633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401624539" w:edGrp="everyone"/>
            <w:r>
              <w:rPr>
                <w:rFonts w:ascii="Calibri" w:hAnsi="Calibri" w:cs="Calibri"/>
                <w:szCs w:val="26"/>
              </w:rPr>
              <w:t>TCLD_ERTR_FCCFF</w:t>
            </w:r>
            <w:permEnd w:id="401624539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9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16633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0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64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6"/>
      <w:tr w:rsidR="00572BB6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B11370" w:rsidRDefault="00572BB6" w:rsidP="00CF18D8">
            <w:pPr>
              <w:pStyle w:val="TFSWorkitem3"/>
              <w:keepLines/>
              <w:rPr>
                <w:lang w:val="it-IT"/>
              </w:rPr>
            </w:pPr>
            <w:r w:rsidRPr="00B11370">
              <w:rPr>
                <w:lang w:val="it-IT"/>
              </w:rPr>
              <w:t>Feature 16633 - Conguaglio  contributivo  e fiscale di fine anno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572BB6" w:rsidRPr="0018760B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200431828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34839560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572BB6" w:rsidRPr="00324ECD" w:rsidRDefault="00572BB6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1200431828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5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572BB6" w:rsidRPr="00B11370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834207924" w:edGrp="everyone"/>
            <w:r w:rsidRPr="00B11370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Conguaglio  contributivo  e fiscale di fine anno</w:t>
            </w:r>
            <w:permEnd w:id="83420792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72BB6" w:rsidRPr="00B11370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B11370" w:rsidRDefault="00572BB6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572BB6" w:rsidRPr="00B11370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permStart w:id="924469500" w:edGrp="everyone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Il sistema deve effettuare il conguaglio contributivo e fiscale cui sono tenuti i datori di lavoro, in qualità di sostituti d’imposta, previsto entro il 28 </w:t>
            </w:r>
            <w:proofErr w:type="gram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Febbraio</w:t>
            </w:r>
            <w:proofErr w:type="gram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di ogni anno. Si tratta di un ricalcolo delle imposte e dei contributi dovuti dai lavoratori dipendenti, dai collaboratori e dai pensionati sulla base del reddito percepito nell’anno, la cui misura diviene certa a conclusione dell’anno d’imposta, quindi nel mese di dicembre. Ad essere sottoposti a conguaglio sono i contributi (Inps o altro ente previdenziale) e le imposte (Irpef, addizionale regionale, comunale e relativi acconti) sia a carico del lavoratore che dell’azienda stessa. Questa operazione di fine anno di fatto corregge ed adegua gli importi trattenuti nelle buste paga da gennaio a novembre, sia come imposte che come contributi a carico del lavoratore. 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 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A richiesta delle Amministrazioni, il sistema deve poter effettuare il conguaglio contributivo e fiscale in due tempi:</w:t>
            </w:r>
          </w:p>
          <w:p w:rsidR="00572BB6" w:rsidRDefault="00572BB6" w:rsidP="00572BB6">
            <w:pPr>
              <w:pStyle w:val="NormaleWeb"/>
              <w:numPr>
                <w:ilvl w:val="0"/>
                <w:numId w:val="44"/>
              </w:numPr>
              <w:spacing w:before="0" w:beforeAutospacing="0" w:after="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 xml:space="preserve">Al 31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Dicembre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572BB6" w:rsidRPr="00B11370" w:rsidRDefault="00572BB6" w:rsidP="00572BB6">
            <w:pPr>
              <w:pStyle w:val="NormaleWeb"/>
              <w:numPr>
                <w:ilvl w:val="0"/>
                <w:numId w:val="44"/>
              </w:numPr>
              <w:spacing w:before="0" w:beforeAutospacing="0" w:after="1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Al 28 </w:t>
            </w:r>
            <w:proofErr w:type="gram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Febbraio</w:t>
            </w:r>
            <w:proofErr w:type="gram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dell’anno successivo, a seguito dell’acquisizione delle somme pervenute da altri sostituti d’imposta entro il 12 Gennaio del medesimo anno.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Inoltre, il sistema deve poter effettuare </w:t>
            </w:r>
            <w:r w:rsidRPr="00B11370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it-IT"/>
              </w:rPr>
              <w:t xml:space="preserve">un conguaglio fiscale distinto per importi di reddito su territorio italiano e all’estero; 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tale peculiarità è</w:t>
            </w:r>
            <w:r w:rsidRPr="00B11370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it-IT"/>
              </w:rPr>
              <w:t xml:space="preserve"> 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prevista per alcuni comparti/contratti (ad es. Forze Armate) che percepiscono importi netti da </w:t>
            </w:r>
            <w:proofErr w:type="spell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lordizzare</w:t>
            </w:r>
            <w:proofErr w:type="spell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per attività svolte su territorio estero (teatri operativi).  Pur cumulando i redditi sulla stessa certificazione unica, il conguaglio deve essere fatto sia per i redditi in territorio italiano sia per i redditi in territorio estero. Il documento contenente il risultato di tale elaborazione deve essere fruibile dall’amministrato nella propria area riservata.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 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Per gli approfondimenti su quanto precedentemente esposto si rimanda ai documenti allegati</w:t>
            </w:r>
            <w:r w:rsidRPr="00B11370">
              <w:rPr>
                <w:rFonts w:ascii="Georgia" w:hAnsi="Georgia"/>
                <w:color w:val="000000"/>
                <w:sz w:val="20"/>
                <w:szCs w:val="20"/>
                <w:lang w:val="it-IT"/>
              </w:rPr>
              <w:t xml:space="preserve">. </w:t>
            </w:r>
          </w:p>
          <w:p w:rsidR="00572BB6" w:rsidRPr="00B11370" w:rsidRDefault="00572BB6" w:rsidP="00572BB6">
            <w:pPr>
              <w:pStyle w:val="NormaleWeb"/>
              <w:spacing w:before="0" w:beforeAutospacing="0" w:after="160" w:afterAutospacing="0"/>
              <w:jc w:val="both"/>
              <w:rPr>
                <w:lang w:val="it-IT"/>
              </w:rPr>
            </w:pPr>
          </w:p>
          <w:p w:rsidR="00572BB6" w:rsidRDefault="00572BB6" w:rsidP="00572BB6">
            <w:pPr>
              <w:pStyle w:val="NormaleWeb"/>
              <w:spacing w:before="0" w:beforeAutospacing="0" w:after="160" w:afterAutospacing="0"/>
              <w:jc w:val="both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3106400" cy="3105150"/>
                  <wp:effectExtent l="0" t="0" r="0" b="0"/>
                  <wp:docPr id="25" name="Immagine 25" descr="http://tfsprod.mef.gov.it/tfs/Cloudify-NoiPA/WorkItemTracking/v1.0/AttachFileHandler.ashx?FileNameGuid=36feaadd-fad6-4d1b-a200-c9aec9fc6c92&amp;FileName=conguaglio%20contributivo%20fisc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tfsprod.mef.gov.it/tfs/Cloudify-NoiPA/WorkItemTracking/v1.0/AttachFileHandler.ashx?FileNameGuid=36feaadd-fad6-4d1b-a200-c9aec9fc6c92&amp;FileName=conguaglio%20contributivo%20fisc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0" cy="310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BB6" w:rsidRDefault="00572BB6" w:rsidP="00572BB6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924469500"/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A3613B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A64A6F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572BB6" w:rsidRPr="00AD37E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572BB6" w:rsidRPr="00426C9B" w:rsidRDefault="00572BB6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  <w:permStart w:id="631384731" w:edGrp="everyone"/>
      <w:permEnd w:id="631384731"/>
    </w:p>
    <w:p w:rsidR="00572BB6" w:rsidRPr="005C18B6" w:rsidRDefault="00572BB6" w:rsidP="00313F92">
      <w:pPr>
        <w:tabs>
          <w:tab w:val="left" w:pos="5565"/>
        </w:tabs>
        <w:rPr>
          <w:rFonts w:ascii="Calibri" w:hAnsi="Calibri" w:cs="Calibri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572BB6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72BB6" w:rsidRPr="00A45B81" w:rsidRDefault="00572BB6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572BB6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572BB6" w:rsidRPr="00773A69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7" w:name="w2t1708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315599155" w:edGrp="everyone"/>
            <w:r>
              <w:rPr>
                <w:rFonts w:ascii="Calibri" w:hAnsi="Calibri" w:cs="Calibri"/>
                <w:szCs w:val="26"/>
              </w:rPr>
              <w:t>TCLD_EGR0_FGEAD</w:t>
            </w:r>
            <w:permEnd w:id="1315599155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2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17082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3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61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43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17072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7"/>
      <w:tr w:rsidR="00572BB6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B11370" w:rsidRDefault="00572BB6" w:rsidP="00CF18D8">
            <w:pPr>
              <w:pStyle w:val="TFSWorkitem3"/>
              <w:keepLines/>
              <w:rPr>
                <w:lang w:val="it-IT"/>
              </w:rPr>
            </w:pPr>
            <w:r w:rsidRPr="00B11370">
              <w:rPr>
                <w:lang w:val="it-IT"/>
              </w:rPr>
              <w:t>Feature 17082 - Gestione-emissione e annullamento dichiarazione di terzo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572BB6" w:rsidRPr="0018760B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112442209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439260370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572BB6" w:rsidRPr="00324ECD" w:rsidRDefault="00572BB6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2112442209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572BB6" w:rsidRPr="00B11370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419671812" w:edGrp="everyone"/>
            <w:r w:rsidRPr="00B11370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Gestione-emissione e annullamento dichiarazione di terzo</w:t>
            </w:r>
            <w:permEnd w:id="1419671812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72BB6" w:rsidRPr="00B11370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B11370" w:rsidRDefault="00572BB6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572BB6" w:rsidRPr="00B11370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permStart w:id="1078750516" w:edGrp="everyone"/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lastRenderedPageBreak/>
              <w:t>L’operatore autorizzato deve poter ricercare un amministrato, come definito in “</w:t>
            </w:r>
            <w:r w:rsidRPr="00B11370">
              <w:rPr>
                <w:rFonts w:ascii="Georgia" w:hAnsi="Georgia" w:cs="Tahoma"/>
                <w:i/>
                <w:iCs/>
                <w:color w:val="000000"/>
                <w:sz w:val="18"/>
                <w:szCs w:val="18"/>
                <w:lang w:val="it-IT"/>
              </w:rPr>
              <w:t>TCLD_ECNS_FRDPF - Ricerca e dettaglio persona fisica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”, selezionare il tipo di dichiarazione di terzo, come definito in “</w:t>
            </w:r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TCLD_ECNF_FCTMC – Configurazione </w:t>
            </w:r>
            <w:proofErr w:type="spellStart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template</w:t>
            </w:r>
            <w:proofErr w:type="spellEnd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 modelli di certificazioni” 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e confermarne l’emissione.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dovrà procedere alla memorizzazione dei dati identificativi del certificato così generato, definiti come in “</w:t>
            </w:r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TCLD_ECNF_FCTMC – configurazione </w:t>
            </w:r>
            <w:proofErr w:type="spellStart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template</w:t>
            </w:r>
            <w:proofErr w:type="spellEnd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 modelli di certificazioni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 ed all’archiviazione copia conforme.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L’operatore autorizzato deve poter ricercare un certificato emesso e procedere al suo annullamento. 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color w:val="000000"/>
                <w:lang w:val="it-IT"/>
              </w:rPr>
            </w:pP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</w:p>
          <w:permEnd w:id="1078750516"/>
          <w:p w:rsidR="00572BB6" w:rsidRPr="00B11370" w:rsidRDefault="00572BB6" w:rsidP="00D5543D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B11370" w:rsidRDefault="00572BB6" w:rsidP="00D5543D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B11370" w:rsidRDefault="00572BB6" w:rsidP="00CF18D8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A64A6F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572BB6" w:rsidRPr="00AD37E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572BB6" w:rsidRPr="00426C9B" w:rsidRDefault="00572BB6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  <w:permStart w:id="435706259" w:edGrp="everyone"/>
      <w:permEnd w:id="435706259"/>
    </w:p>
    <w:p w:rsidR="00572BB6" w:rsidRPr="005C18B6" w:rsidRDefault="00572BB6" w:rsidP="00313F92">
      <w:pPr>
        <w:tabs>
          <w:tab w:val="left" w:pos="5565"/>
        </w:tabs>
        <w:rPr>
          <w:rFonts w:ascii="Calibri" w:hAnsi="Calibri" w:cs="Calibri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572BB6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72BB6" w:rsidRPr="00A45B81" w:rsidRDefault="00572BB6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  <w:proofErr w:type="spellEnd"/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572BB6" w:rsidRPr="00A45B81" w:rsidRDefault="00572BB6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572BB6" w:rsidRPr="00497C57" w:rsidRDefault="00572BB6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572BB6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572BB6" w:rsidRPr="00773A69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8" w:name="w2t17084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470122154" w:edGrp="everyone"/>
            <w:r>
              <w:rPr>
                <w:rFonts w:ascii="Calibri" w:hAnsi="Calibri" w:cs="Calibri"/>
                <w:szCs w:val="26"/>
              </w:rPr>
              <w:t>TCLD_EGR0_FGEAC</w:t>
            </w:r>
            <w:permEnd w:id="47012215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4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17084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B70ED4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5" w:history="1">
              <w:r w:rsidR="00572BB6" w:rsidRPr="00572BB6">
                <w:rPr>
                  <w:rStyle w:val="Collegamentoipertestuale"/>
                  <w:rFonts w:ascii="Calibri" w:hAnsi="Calibri" w:cs="Calibri"/>
                  <w:szCs w:val="20"/>
                </w:rPr>
                <w:t>61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43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17072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572BB6" w:rsidRPr="00497C57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8"/>
      <w:tr w:rsidR="00572BB6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B11370" w:rsidRDefault="00572BB6" w:rsidP="00CF18D8">
            <w:pPr>
              <w:pStyle w:val="TFSWorkitem3"/>
              <w:keepLines/>
              <w:rPr>
                <w:lang w:val="it-IT"/>
              </w:rPr>
            </w:pPr>
            <w:r w:rsidRPr="00B11370">
              <w:rPr>
                <w:lang w:val="it-IT"/>
              </w:rPr>
              <w:t>Feature 17084 - Gestione-emissione e annullamento certificazione stipendiale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572BB6" w:rsidRPr="0018760B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4952F2" w:rsidRDefault="00572BB6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761365319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248235257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EndPr/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572BB6" w:rsidRPr="00324ECD" w:rsidRDefault="00572BB6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1761365319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572BB6" w:rsidRPr="00B11370" w:rsidRDefault="00572BB6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  <w:lang w:val="it-IT"/>
              </w:rPr>
            </w:pPr>
            <w:permStart w:id="1738748162" w:edGrp="everyone"/>
            <w:r w:rsidRPr="00B11370">
              <w:rPr>
                <w:rFonts w:ascii="Calibri" w:hAnsi="Calibri" w:cs="Calibri"/>
                <w:b/>
                <w:sz w:val="26"/>
                <w:szCs w:val="26"/>
                <w:lang w:val="it-IT"/>
              </w:rPr>
              <w:t>Gestione-emissione e annullamento certificazione stipendiale</w:t>
            </w:r>
            <w:permEnd w:id="1738748162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72BB6" w:rsidRPr="00B11370" w:rsidRDefault="00572BB6" w:rsidP="00CF18D8">
            <w:pPr>
              <w:keepNext/>
              <w:keepLines/>
              <w:rPr>
                <w:rFonts w:ascii="Calibri" w:hAnsi="Calibri" w:cs="Calibri"/>
                <w:b/>
                <w:szCs w:val="26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B11370" w:rsidRDefault="00572BB6" w:rsidP="00D5543D">
            <w:pPr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572BB6" w:rsidRPr="00B11370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  <w:permStart w:id="1869690832" w:edGrp="everyone"/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color w:val="000000"/>
                <w:lang w:val="it-IT"/>
              </w:rPr>
            </w:pP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L’operatore deve poter ricercare un amministrato (“</w:t>
            </w:r>
            <w:r w:rsidRPr="00B11370">
              <w:rPr>
                <w:rFonts w:ascii="Georgia" w:hAnsi="Georgia" w:cs="Tahoma"/>
                <w:i/>
                <w:iCs/>
                <w:color w:val="000000"/>
                <w:sz w:val="18"/>
                <w:szCs w:val="18"/>
                <w:lang w:val="it-IT"/>
              </w:rPr>
              <w:t>TCLD_ECNS_FRDPF - Ricerca e dettaglio persona fisica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”), selezionare il tipo di certificato e confermarne l’emissione.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Tramite servizi abilitati, previa utilizzazione dei codici di autorizzazione, l’amministrato e/o l’istituto creditore dovrà procedere alla generazione del certificato stipendiale. (</w:t>
            </w:r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TCLD_ESLF – Self Service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”)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Il sistema dovrà procedere alla memorizzazione dei dati identificativi del certificato così generato (come definito in “</w:t>
            </w:r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TCLD_ECNF_FCTMC – Configurazione </w:t>
            </w:r>
            <w:proofErr w:type="spellStart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>template</w:t>
            </w:r>
            <w:proofErr w:type="spellEnd"/>
            <w:r w:rsidRPr="00B11370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it-IT"/>
              </w:rPr>
              <w:t xml:space="preserve"> modelli di certificazioni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</w:t>
            </w:r>
            <w:proofErr w:type="gramStart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“ ed</w:t>
            </w:r>
            <w:proofErr w:type="gramEnd"/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 xml:space="preserve"> archiviarne copia conforme.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L’annullamento di un certificato emesso può essere richiesto solo dal richiedente responsabile dell’emissione entro la data di validità dello stesso, come da configurazione.</w:t>
            </w: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 w:line="256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</w:pP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t>Per tutti i certificati emessi anche quelli successivamente annullati il sistema dovrà garantire la conservazione e la riproducibilità.</w:t>
            </w:r>
            <w:r w:rsidRPr="00B11370">
              <w:rPr>
                <w:rFonts w:ascii="Tahoma" w:hAnsi="Tahoma" w:cs="Tahoma"/>
                <w:color w:val="000000"/>
                <w:sz w:val="18"/>
                <w:szCs w:val="18"/>
                <w:lang w:val="it-IT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572BB6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color w:val="000000"/>
                <w:lang w:val="it-IT"/>
              </w:rPr>
            </w:pPr>
          </w:p>
          <w:p w:rsidR="00572BB6" w:rsidRPr="00B11370" w:rsidRDefault="00572BB6" w:rsidP="00572BB6">
            <w:pPr>
              <w:pStyle w:val="NormaleWeb"/>
              <w:spacing w:before="60" w:beforeAutospacing="0" w:after="60" w:afterAutospacing="0"/>
              <w:jc w:val="both"/>
              <w:rPr>
                <w:lang w:val="it-IT"/>
              </w:rPr>
            </w:pPr>
          </w:p>
          <w:permEnd w:id="1869690832"/>
          <w:p w:rsidR="00572BB6" w:rsidRPr="00B11370" w:rsidRDefault="00572BB6" w:rsidP="00D5543D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B11370" w:rsidRDefault="00572BB6" w:rsidP="00D5543D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B11370" w:rsidRDefault="00572BB6" w:rsidP="00CF18D8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572BB6" w:rsidRPr="00A64A6F" w:rsidRDefault="00572BB6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Attori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coinvolti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Pre-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Norme</w:t>
            </w:r>
            <w:proofErr w:type="spellEnd"/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di </w:t>
            </w: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riferimento</w:t>
            </w:r>
            <w:proofErr w:type="spellEnd"/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  <w:proofErr w:type="spellEnd"/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necessari</w:t>
            </w:r>
            <w:proofErr w:type="spellEnd"/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e </w:t>
            </w: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requisiti</w:t>
            </w:r>
            <w:proofErr w:type="spellEnd"/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F5701A" w:rsidRDefault="00572BB6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60683A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Eccezioni</w:t>
            </w:r>
            <w:proofErr w:type="spellEnd"/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2BB6" w:rsidRPr="0004674F" w:rsidRDefault="00572BB6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572BB6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572BB6" w:rsidRPr="00AD37E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572BB6" w:rsidRPr="00657300" w:rsidRDefault="00572BB6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BB6" w:rsidRPr="00107C08" w:rsidRDefault="00572BB6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572BB6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572BB6" w:rsidRPr="005C18B6" w:rsidRDefault="00572BB6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572BB6" w:rsidRPr="005C18B6" w:rsidRDefault="00572BB6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572BB6" w:rsidRPr="00426C9B" w:rsidRDefault="00572BB6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426C9B" w:rsidRDefault="00572BB6" w:rsidP="007065F3">
      <w:pPr>
        <w:spacing w:line="14" w:lineRule="exact"/>
        <w:contextualSpacing/>
        <w:rPr>
          <w:vanish/>
          <w:sz w:val="2"/>
          <w:szCs w:val="20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</w:p>
    <w:p w:rsidR="00572BB6" w:rsidRPr="005C18B6" w:rsidRDefault="00572BB6" w:rsidP="007065F3">
      <w:pPr>
        <w:rPr>
          <w:rFonts w:ascii="Calibri" w:hAnsi="Calibri" w:cs="Calibri"/>
        </w:rPr>
      </w:pPr>
      <w:permStart w:id="548472015" w:edGrp="everyone"/>
      <w:permEnd w:id="548472015"/>
    </w:p>
    <w:p w:rsidR="009F2C77" w:rsidRPr="00572BB6" w:rsidRDefault="009F2C77" w:rsidP="00572BB6"/>
    <w:sectPr w:rsidR="009F2C77" w:rsidRPr="00572BB6" w:rsidSect="00AD7F33">
      <w:headerReference w:type="default" r:id="rId26"/>
      <w:footerReference w:type="default" r:id="rId2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ED4" w:rsidRDefault="00B70ED4">
      <w:pPr>
        <w:spacing w:after="0" w:line="240" w:lineRule="auto"/>
      </w:pPr>
      <w:r>
        <w:separator/>
      </w:r>
    </w:p>
  </w:endnote>
  <w:endnote w:type="continuationSeparator" w:id="0">
    <w:p w:rsidR="00B70ED4" w:rsidRDefault="00B7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42E" w:rsidRPr="0001042E" w:rsidRDefault="00572BB6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572BB6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572BB6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 w:rsidR="00B11370">
            <w:rPr>
              <w:rFonts w:ascii="Tahoma" w:hAnsi="Tahoma" w:cs="Tahoma"/>
              <w:noProof/>
            </w:rPr>
            <w:t>15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B70ED4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B70ED4" w:rsidP="00014E44">
    <w:pPr>
      <w:pStyle w:val="Pidipagina"/>
      <w:widowControl w:val="0"/>
    </w:pPr>
  </w:p>
  <w:p w:rsidR="008B00A2" w:rsidRDefault="00B70E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ED4" w:rsidRDefault="00B70ED4">
      <w:pPr>
        <w:spacing w:after="0" w:line="240" w:lineRule="auto"/>
      </w:pPr>
      <w:r>
        <w:separator/>
      </w:r>
    </w:p>
  </w:footnote>
  <w:footnote w:type="continuationSeparator" w:id="0">
    <w:p w:rsidR="00B70ED4" w:rsidRDefault="00B70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EF0" w:rsidRPr="00803D25" w:rsidRDefault="00572BB6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B70ED4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39C"/>
    <w:multiLevelType w:val="multilevel"/>
    <w:tmpl w:val="04D8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BB0C0C"/>
    <w:multiLevelType w:val="multilevel"/>
    <w:tmpl w:val="920C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602DE5"/>
    <w:multiLevelType w:val="multilevel"/>
    <w:tmpl w:val="E3D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6A29A0"/>
    <w:multiLevelType w:val="multilevel"/>
    <w:tmpl w:val="161C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DC3911"/>
    <w:multiLevelType w:val="multilevel"/>
    <w:tmpl w:val="DD82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0B4577"/>
    <w:multiLevelType w:val="multilevel"/>
    <w:tmpl w:val="53F683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E4F1FB1"/>
    <w:multiLevelType w:val="multilevel"/>
    <w:tmpl w:val="EFEE0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9308FE"/>
    <w:multiLevelType w:val="multilevel"/>
    <w:tmpl w:val="5B52B9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2642B0D"/>
    <w:multiLevelType w:val="multilevel"/>
    <w:tmpl w:val="BA5AB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4D3436"/>
    <w:multiLevelType w:val="multilevel"/>
    <w:tmpl w:val="93EA2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332381"/>
    <w:multiLevelType w:val="multilevel"/>
    <w:tmpl w:val="9E047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30C7E"/>
    <w:multiLevelType w:val="multilevel"/>
    <w:tmpl w:val="E6F29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8A16BD"/>
    <w:multiLevelType w:val="multilevel"/>
    <w:tmpl w:val="F854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527CC1"/>
    <w:multiLevelType w:val="multilevel"/>
    <w:tmpl w:val="9130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693FC8"/>
    <w:multiLevelType w:val="multilevel"/>
    <w:tmpl w:val="597E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6D15287"/>
    <w:multiLevelType w:val="multilevel"/>
    <w:tmpl w:val="B386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9A3BB3"/>
    <w:multiLevelType w:val="multilevel"/>
    <w:tmpl w:val="E82E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2F5F06"/>
    <w:multiLevelType w:val="multilevel"/>
    <w:tmpl w:val="8A266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F173766"/>
    <w:multiLevelType w:val="multilevel"/>
    <w:tmpl w:val="0DC0DA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30F317E6"/>
    <w:multiLevelType w:val="multilevel"/>
    <w:tmpl w:val="0348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2B63721"/>
    <w:multiLevelType w:val="multilevel"/>
    <w:tmpl w:val="31A8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7253499"/>
    <w:multiLevelType w:val="multilevel"/>
    <w:tmpl w:val="0B54E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D307F4"/>
    <w:multiLevelType w:val="multilevel"/>
    <w:tmpl w:val="9ACE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7A0DBF"/>
    <w:multiLevelType w:val="multilevel"/>
    <w:tmpl w:val="FE86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D0377F"/>
    <w:multiLevelType w:val="multilevel"/>
    <w:tmpl w:val="7A2C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E714BE"/>
    <w:multiLevelType w:val="multilevel"/>
    <w:tmpl w:val="05A6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0443725"/>
    <w:multiLevelType w:val="multilevel"/>
    <w:tmpl w:val="7640D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1E5234F"/>
    <w:multiLevelType w:val="multilevel"/>
    <w:tmpl w:val="84A4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7FB2091"/>
    <w:multiLevelType w:val="multilevel"/>
    <w:tmpl w:val="1BA2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0A6A4A"/>
    <w:multiLevelType w:val="multilevel"/>
    <w:tmpl w:val="BBDC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E253430"/>
    <w:multiLevelType w:val="multilevel"/>
    <w:tmpl w:val="A8D45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B66866"/>
    <w:multiLevelType w:val="multilevel"/>
    <w:tmpl w:val="C0DC6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2D033D9"/>
    <w:multiLevelType w:val="multilevel"/>
    <w:tmpl w:val="74C2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60429C6"/>
    <w:multiLevelType w:val="multilevel"/>
    <w:tmpl w:val="7FBCC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24578E"/>
    <w:multiLevelType w:val="multilevel"/>
    <w:tmpl w:val="3C36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463D6F"/>
    <w:multiLevelType w:val="multilevel"/>
    <w:tmpl w:val="3C9E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EAE7453"/>
    <w:multiLevelType w:val="multilevel"/>
    <w:tmpl w:val="E654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10A1B03"/>
    <w:multiLevelType w:val="multilevel"/>
    <w:tmpl w:val="D7789F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61B1214A"/>
    <w:multiLevelType w:val="multilevel"/>
    <w:tmpl w:val="7D4E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1C722E"/>
    <w:multiLevelType w:val="multilevel"/>
    <w:tmpl w:val="32A67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DA82618"/>
    <w:multiLevelType w:val="multilevel"/>
    <w:tmpl w:val="3674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512884"/>
    <w:multiLevelType w:val="multilevel"/>
    <w:tmpl w:val="3530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196BEE"/>
    <w:multiLevelType w:val="multilevel"/>
    <w:tmpl w:val="BE9C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34A21FC"/>
    <w:multiLevelType w:val="multilevel"/>
    <w:tmpl w:val="144AB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42B770A"/>
    <w:multiLevelType w:val="multilevel"/>
    <w:tmpl w:val="249C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4CB5D52"/>
    <w:multiLevelType w:val="multilevel"/>
    <w:tmpl w:val="C6D4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2068E8"/>
    <w:multiLevelType w:val="multilevel"/>
    <w:tmpl w:val="B2F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8231A58"/>
    <w:multiLevelType w:val="multilevel"/>
    <w:tmpl w:val="9C9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94323A"/>
    <w:multiLevelType w:val="multilevel"/>
    <w:tmpl w:val="41FE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3"/>
  </w:num>
  <w:num w:numId="3">
    <w:abstractNumId w:val="35"/>
  </w:num>
  <w:num w:numId="4">
    <w:abstractNumId w:val="34"/>
  </w:num>
  <w:num w:numId="5">
    <w:abstractNumId w:val="39"/>
  </w:num>
  <w:num w:numId="6">
    <w:abstractNumId w:val="36"/>
  </w:num>
  <w:num w:numId="7">
    <w:abstractNumId w:val="31"/>
  </w:num>
  <w:num w:numId="8">
    <w:abstractNumId w:val="2"/>
  </w:num>
  <w:num w:numId="9">
    <w:abstractNumId w:val="32"/>
  </w:num>
  <w:num w:numId="10">
    <w:abstractNumId w:val="27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40"/>
  </w:num>
  <w:num w:numId="16">
    <w:abstractNumId w:val="15"/>
  </w:num>
  <w:num w:numId="17">
    <w:abstractNumId w:val="47"/>
  </w:num>
  <w:num w:numId="18">
    <w:abstractNumId w:val="48"/>
  </w:num>
  <w:num w:numId="19">
    <w:abstractNumId w:val="4"/>
  </w:num>
  <w:num w:numId="20">
    <w:abstractNumId w:val="28"/>
  </w:num>
  <w:num w:numId="21">
    <w:abstractNumId w:val="19"/>
  </w:num>
  <w:num w:numId="22">
    <w:abstractNumId w:val="16"/>
  </w:num>
  <w:num w:numId="23">
    <w:abstractNumId w:val="8"/>
  </w:num>
  <w:num w:numId="24">
    <w:abstractNumId w:val="24"/>
  </w:num>
  <w:num w:numId="25">
    <w:abstractNumId w:val="42"/>
  </w:num>
  <w:num w:numId="26">
    <w:abstractNumId w:val="25"/>
  </w:num>
  <w:num w:numId="27">
    <w:abstractNumId w:val="6"/>
  </w:num>
  <w:num w:numId="28">
    <w:abstractNumId w:val="17"/>
  </w:num>
  <w:num w:numId="29">
    <w:abstractNumId w:val="23"/>
  </w:num>
  <w:num w:numId="30">
    <w:abstractNumId w:val="43"/>
  </w:num>
  <w:num w:numId="31">
    <w:abstractNumId w:val="26"/>
  </w:num>
  <w:num w:numId="32">
    <w:abstractNumId w:val="29"/>
  </w:num>
  <w:num w:numId="33">
    <w:abstractNumId w:val="41"/>
  </w:num>
  <w:num w:numId="34">
    <w:abstractNumId w:val="12"/>
  </w:num>
  <w:num w:numId="35">
    <w:abstractNumId w:val="38"/>
  </w:num>
  <w:num w:numId="36">
    <w:abstractNumId w:val="46"/>
  </w:num>
  <w:num w:numId="37">
    <w:abstractNumId w:val="22"/>
  </w:num>
  <w:num w:numId="38">
    <w:abstractNumId w:val="21"/>
  </w:num>
  <w:num w:numId="39">
    <w:abstractNumId w:val="20"/>
  </w:num>
  <w:num w:numId="40">
    <w:abstractNumId w:val="37"/>
  </w:num>
  <w:num w:numId="41">
    <w:abstractNumId w:val="14"/>
  </w:num>
  <w:num w:numId="42">
    <w:abstractNumId w:val="7"/>
  </w:num>
  <w:num w:numId="43">
    <w:abstractNumId w:val="10"/>
  </w:num>
  <w:num w:numId="44">
    <w:abstractNumId w:val="33"/>
  </w:num>
  <w:num w:numId="45">
    <w:abstractNumId w:val="30"/>
  </w:num>
  <w:num w:numId="46">
    <w:abstractNumId w:val="18"/>
  </w:num>
  <w:num w:numId="47">
    <w:abstractNumId w:val="45"/>
  </w:num>
  <w:num w:numId="48">
    <w:abstractNumId w:val="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2E5350"/>
    <w:rsid w:val="00082C1E"/>
    <w:rsid w:val="002E5350"/>
    <w:rsid w:val="00572BB6"/>
    <w:rsid w:val="009F2C77"/>
    <w:rsid w:val="00B11370"/>
    <w:rsid w:val="00B70ED4"/>
    <w:rsid w:val="00C41E04"/>
    <w:rsid w:val="00E51388"/>
    <w:rsid w:val="00FA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A0C6B9-AF09-44F8-AD19-17F1952E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E535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5350"/>
  </w:style>
  <w:style w:type="paragraph" w:styleId="Pidipagina">
    <w:name w:val="footer"/>
    <w:basedOn w:val="Normale"/>
    <w:link w:val="Pidipagina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5350"/>
  </w:style>
  <w:style w:type="paragraph" w:customStyle="1" w:styleId="TFSWorkitem3">
    <w:name w:val="TFS Workitem 3"/>
    <w:next w:val="Normale"/>
    <w:rsid w:val="002E5350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E5350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2E5350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2E5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72BB6"/>
    <w:rPr>
      <w:b/>
      <w:bCs/>
    </w:rPr>
  </w:style>
  <w:style w:type="table" w:customStyle="1" w:styleId="Grigliatabella1">
    <w:name w:val="Griglia tabella1"/>
    <w:basedOn w:val="Tabellanormale"/>
    <w:next w:val="Grigliatabella"/>
    <w:uiPriority w:val="39"/>
    <w:rsid w:val="00B11370"/>
    <w:pPr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439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cloudify-noipa/WorkItemTracking/workitem.aspx?artifactMoniker=16580&amp;Rev=64" TargetMode="External"/><Relationship Id="rId13" Type="http://schemas.openxmlformats.org/officeDocument/2006/relationships/hyperlink" Target="http://tfsprod.mef.gov.it/tfs/web/wi.aspx?pcguid=3386bb2f-8429-493a-9ac0-2b7a589ccf8c&amp;id=16619" TargetMode="External"/><Relationship Id="rId18" Type="http://schemas.openxmlformats.org/officeDocument/2006/relationships/image" Target="media/image4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5.jpeg"/><Relationship Id="rId7" Type="http://schemas.openxmlformats.org/officeDocument/2006/relationships/hyperlink" Target="http://tfsprod.mef.gov.it/tfs/web/wi.aspx?pcguid=3386bb2f-8429-493a-9ac0-2b7a589ccf8c&amp;id=16580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://tfsprod.mef.gov.it/tfs/cloudify-noipa/WorkItemTracking/workitem.aspx?artifactMoniker=16627&amp;Rev=63" TargetMode="External"/><Relationship Id="rId25" Type="http://schemas.openxmlformats.org/officeDocument/2006/relationships/hyperlink" Target="http://tfsprod.mef.gov.it/tfs/cloudify-noipa/WorkItemTracking/workitem.aspx?artifactMoniker=17084&amp;Rev=61" TargetMode="External"/><Relationship Id="rId2" Type="http://schemas.openxmlformats.org/officeDocument/2006/relationships/styles" Target="styles.xml"/><Relationship Id="rId16" Type="http://schemas.openxmlformats.org/officeDocument/2006/relationships/hyperlink" Target="http://tfsprod.mef.gov.it/tfs/web/wi.aspx?pcguid=3386bb2f-8429-493a-9ac0-2b7a589ccf8c&amp;id=16627" TargetMode="External"/><Relationship Id="rId20" Type="http://schemas.openxmlformats.org/officeDocument/2006/relationships/hyperlink" Target="http://tfsprod.mef.gov.it/tfs/cloudify-noipa/WorkItemTracking/workitem.aspx?artifactMoniker=16633&amp;Rev=64" TargetMode="External"/><Relationship Id="rId29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fsprod.mef.gov.it/tfs/cloudify-noipa/WorkItemTracking/workitem.aspx?artifactMoniker=16598&amp;Rev=65" TargetMode="External"/><Relationship Id="rId24" Type="http://schemas.openxmlformats.org/officeDocument/2006/relationships/hyperlink" Target="http://tfsprod.mef.gov.it/tfs/web/wi.aspx?pcguid=3386bb2f-8429-493a-9ac0-2b7a589ccf8c&amp;id=17084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yperlink" Target="http://tfsprod.mef.gov.it/tfs/cloudify-noipa/WorkItemTracking/workitem.aspx?artifactMoniker=17082&amp;Rev=6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tfsprod.mef.gov.it/tfs/web/wi.aspx?pcguid=3386bb2f-8429-493a-9ac0-2b7a589ccf8c&amp;id=16598" TargetMode="External"/><Relationship Id="rId19" Type="http://schemas.openxmlformats.org/officeDocument/2006/relationships/hyperlink" Target="http://tfsprod.mef.gov.it/tfs/web/wi.aspx?pcguid=3386bb2f-8429-493a-9ac0-2b7a589ccf8c&amp;id=1663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tfsprod.mef.gov.it/tfs/cloudify-noipa/WorkItemTracking/workitem.aspx?artifactMoniker=16619&amp;Rev=63" TargetMode="External"/><Relationship Id="rId22" Type="http://schemas.openxmlformats.org/officeDocument/2006/relationships/hyperlink" Target="http://tfsprod.mef.gov.it/tfs/web/wi.aspx?pcguid=3386bb2f-8429-493a-9ac0-2b7a589ccf8c&amp;id=17082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FB27BB-52FB-4533-8E4C-73A95B1F939F}"/>
      </w:docPartPr>
      <w:docPartBody>
        <w:p w:rsidR="00E0425C" w:rsidRDefault="003C306A">
          <w:r w:rsidRPr="00413493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06A"/>
    <w:rsid w:val="003C306A"/>
    <w:rsid w:val="007E071E"/>
    <w:rsid w:val="00E0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C306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3957</Words>
  <Characters>22557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Federico</cp:lastModifiedBy>
  <cp:revision>3</cp:revision>
  <dcterms:created xsi:type="dcterms:W3CDTF">2020-11-13T11:25:00Z</dcterms:created>
  <dcterms:modified xsi:type="dcterms:W3CDTF">2020-11-13T14:05:00Z</dcterms:modified>
</cp:coreProperties>
</file>